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06F7E" w14:textId="77777777" w:rsidR="003965B7" w:rsidRPr="003965B7" w:rsidRDefault="003965B7" w:rsidP="00396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Uzasadnienie do uchwały Nr ................ </w:t>
      </w:r>
      <w:r w:rsidR="005B67DD" w:rsidRPr="005B67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Rady </w:t>
      </w:r>
      <w:r w:rsidR="005E212A" w:rsidRPr="005E21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Miejskiej w Reszlu</w:t>
      </w:r>
    </w:p>
    <w:p w14:paraId="72D21FFE" w14:textId="77777777" w:rsidR="003965B7" w:rsidRPr="003965B7" w:rsidRDefault="003965B7" w:rsidP="00396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dnia .........................20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21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w sprawie </w:t>
      </w:r>
      <w:r w:rsidR="005E212A" w:rsidRPr="005E21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uchwalenia </w:t>
      </w:r>
      <w:r w:rsidR="002E4BD8" w:rsidRPr="002E4B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miejscowego planu zagospodarowania przestrzennego gminy  Reszel w obrębie Dębnik dla działki nr 40/10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022250B5" w14:textId="77777777" w:rsidR="003965B7" w:rsidRPr="003965B7" w:rsidRDefault="003965B7" w:rsidP="00396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7EE5ED" w14:textId="62F2C5B1" w:rsidR="003965B7" w:rsidRPr="003965B7" w:rsidRDefault="003965B7" w:rsidP="003965B7">
      <w:pPr>
        <w:widowControl w:val="0"/>
        <w:autoSpaceDE w:val="0"/>
        <w:autoSpaceDN w:val="0"/>
        <w:adjustRightInd w:val="0"/>
        <w:spacing w:after="240" w:line="240" w:lineRule="auto"/>
        <w:ind w:firstLine="47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Ustalenia planu realizują wymogi wynikające z art. 1 ust. 2-4 ustawy z dnia 27 marca 2003 r. </w:t>
      </w:r>
      <w:r w:rsidRPr="003965B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o planowaniu i zagospodarowaniu przestrzennym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="00D12E0C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D12E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="00D12E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r., 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741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tj.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4479B74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ładu przestrzennego, w tym urbanistyki i architektury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poprzez ustalenie przeznaczenia terenu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, zasad ochrony i kształtowania ładu przestrzennego w §</w:t>
      </w:r>
      <w:r w:rsidR="002E4BD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, oraz parametrów i wskaźników kształtowania zabudowy określonych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A238058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architektoniczne i krajobrazowe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przede wszystkim poprzez określenie parametrów i wskaźników kształtowania zabudowy.</w:t>
      </w:r>
    </w:p>
    <w:p w14:paraId="5EFF6338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wymagania ochrony przyrody i środowiska, w tym gospodarowania wodami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– plan wprowadza ustalenia w tym zakresie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14:paraId="068E3E7A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40"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W obszarze planu nie występują prawne formy ochrony przyrody, obszary szczególnego zagrożenia powodzią oraz tereny zagrożone osuwaniem się mas ziemnych.</w:t>
      </w:r>
    </w:p>
    <w:p w14:paraId="19FF8DB6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40"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określono zasady uzbrojenia w infrastrukturę techniczną (w tym, zaopatrzenie w wodę oraz odprowadzanie ścieków) z uwzględnieniem wymagań ochrony środowiska i przyrody. </w:t>
      </w:r>
    </w:p>
    <w:p w14:paraId="7BEC4C37" w14:textId="77777777" w:rsidR="002E4BD8" w:rsidRPr="002E4BD8" w:rsidRDefault="002E4BD8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6A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gruntów rolnych i leśnych</w:t>
      </w:r>
      <w:r w:rsidRPr="004B6A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B6A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Teren objęty planem nie wymagał - zgodnie z przepisami ustawy z dnia 3 lutego 1995 r. </w:t>
      </w:r>
      <w:r w:rsidRPr="004B6AE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 ochronie gruntów rolnych i leśnych</w:t>
      </w:r>
      <w:r w:rsidRPr="004B6A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 U. z </w:t>
      </w:r>
      <w:r w:rsidR="000610B7">
        <w:rPr>
          <w:rFonts w:ascii="Times New Roman" w:eastAsia="Times New Roman" w:hAnsi="Times New Roman" w:cs="Times New Roman"/>
          <w:sz w:val="24"/>
          <w:szCs w:val="24"/>
          <w:lang w:eastAsia="pl-PL"/>
        </w:rPr>
        <w:t>2021</w:t>
      </w:r>
      <w:r w:rsidRPr="004B6A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poz.</w:t>
      </w:r>
      <w:r w:rsidR="000610B7">
        <w:rPr>
          <w:rFonts w:ascii="Times New Roman" w:eastAsia="Times New Roman" w:hAnsi="Times New Roman" w:cs="Times New Roman"/>
          <w:sz w:val="24"/>
          <w:szCs w:val="24"/>
          <w:lang w:eastAsia="pl-PL"/>
        </w:rPr>
        <w:t>1326</w:t>
      </w:r>
      <w:r w:rsidRPr="004B6AE5">
        <w:rPr>
          <w:rFonts w:ascii="Times New Roman" w:eastAsia="Times New Roman" w:hAnsi="Times New Roman" w:cs="Times New Roman"/>
          <w:sz w:val="24"/>
          <w:szCs w:val="24"/>
          <w:lang w:eastAsia="pl-PL"/>
        </w:rPr>
        <w:t>, ze zm.) - uzyskania w toku procedury planistycznej zgód na zmianę przeznaczenia gruntów rolnych i leśnych na cele nierolnicze i nieleśne.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Grunty rolne klasy III, chronione z mocy ww. ustawy pozostały jako tereny rolnicze. Natomiast w części w jakiej obowiązujący na tym terenie plan miejscowy wyznaczał przeznaczenie terenu pod lokalizację</w:t>
      </w:r>
      <w:r w:rsidR="000610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masztu elektrowni wiatrowej, wyznaczono przeznaczeni nierolnicze terenu zgodnie z załącznikiem graficznym do planu. </w:t>
      </w:r>
    </w:p>
    <w:p w14:paraId="3334D6AA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dziedzictwa kulturowego i zabytków oraz dóbr kultury współczesnej 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noBreakHyphen/>
        <w:t> 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granicach planu </w:t>
      </w:r>
      <w:r w:rsidR="005B67DD">
        <w:rPr>
          <w:rFonts w:ascii="Times New Roman" w:eastAsia="Times New Roman" w:hAnsi="Times New Roman" w:cs="Times New Roman"/>
          <w:sz w:val="24"/>
          <w:szCs w:val="24"/>
          <w:lang w:eastAsia="pl-PL"/>
        </w:rPr>
        <w:t>występuj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ą obiekty objęte ochroną konserwatorską wskazane w §7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D1BF4D4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zdrowia oraz bezpieczeństwa ludzi i mienia, a także potrzeby osób niepełnosprawnych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nie wprowadza żadnych ograniczeń uniemożliwiających realizację rozwiązań architektonicznych dla potrzeb osób niepełnosprawnych w tym ilości miejsc parkingowych przeznaczonych do parkowania pojazdów zaopatrzonych w kartę parkingową;</w:t>
      </w:r>
    </w:p>
    <w:p w14:paraId="048C1DEB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ekonomiczne przestrzeni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miejscowy został opracowany zgodnie z ustawą o planowaniu i zagospodarowaniu przestrzennym wraz z przepisami wykonawczymi, dlatego jego treść nie odnosi się bezpośrednio do walorów ekonomicznych terenu, dla którego jest sporządzany. Jednak zawarte w ustaleniach szczegółowych, </w:t>
      </w:r>
      <w:r w:rsidRPr="003965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parametry i wskaźniki kształtowania zabudowy oraz zagospodarowania terenu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mają na uwadze optymalne wykorzystanie walorów ekonomicznych przestrzeni. </w:t>
      </w:r>
    </w:p>
    <w:p w14:paraId="0E647CFE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własności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ustalenia planu miejscowego wyznaczają granice korzystania z nieruchomości, między innymi poprzez ustalenia co do przeznaczenia terenu, czy zasad ochrony i kształtowania ładu przestrzennego, parametrów i wskaźników kształtowania zabudowy oraz zagospodarowania terenu.</w:t>
      </w:r>
    </w:p>
    <w:p w14:paraId="401BCDBA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obronności i bezpieczeństwa państwa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 dotyczy, w obrębie obszaru planu docelowo nie przewiduje się terenów i obiektów spełniających potrzeby obronności i bezpieczeństwa państwa.</w:t>
      </w:r>
    </w:p>
    <w:p w14:paraId="05B02DEB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interesu publicznego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 zabezpieczone poprzez wyznaczenie ogólnodostępnych dróg publicznych oraz terenów zieleni urządzonej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DE3F93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w zakresie rozwoju infrastruktury technicznej, w szczególności sieci szerokopasmowych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wyznacza możliwość, w ramach uzupełniającego sposobu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zagospodarowania terenów, realizację sieci, przyłączy i urządzeń infrastruktury technicznej. </w:t>
      </w:r>
    </w:p>
    <w:p w14:paraId="3339D4E0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zapewnienie udziału społeczeństwa w pracach nad miejscowym planem zagospodarowania przestrzennego, w tym przy użyciu środków komunikacji elektronicznej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organ sporządzający plan zapewnił udział społeczeństwa w opracowywaniu projektu planu miejscowego wraz z prognozą oddziaływania na środowisko, poprzez ogłoszenie o przystąpieniu do sporządzenia planu miejscowego i prognozy oddziaływania na środowisko, umożliwienie</w:t>
      </w:r>
      <w:r w:rsidRPr="003965B7">
        <w:rPr>
          <w:rFonts w:ascii="Times New Roman" w:eastAsia="Times New Roman" w:hAnsi="Times New Roman" w:cs="Times New Roman"/>
          <w:color w:val="C00000"/>
          <w:sz w:val="24"/>
          <w:szCs w:val="24"/>
          <w:lang w:eastAsia="pl-PL"/>
        </w:rPr>
        <w:t xml:space="preserve">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 wniosków, wyłożenie do publicznego wglądu projektu planu wraz z prognozą oddziaływania na środowisko oraz zorganizowanie publicznej dyskusji nad przyjętymi w projekcie planu rozwiązaniami wraz z możliwością składania uwag.</w:t>
      </w:r>
    </w:p>
    <w:p w14:paraId="4CA8737C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Ustalając przeznaczenie terenu organ 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rozważył interes publiczny i interesy prywatne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także analizy ekonomiczne, środowiskowe i społeczne. Zaprojektowane rozwiązania planu są zgodne z oczekiwaniami mieszkańców w granicach dopuszczonych ustaleniami Studium uwarunkowań i kierunków zagospodarowania przestrzennego </w:t>
      </w:r>
      <w:r w:rsidR="005460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Reszel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5633B47" w14:textId="77777777" w:rsidR="003965B7" w:rsidRPr="003965B7" w:rsidRDefault="005E212A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>dniu 26 września 2019 r. Rada Miejska w Reszlu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przyjęła uchwałę Nr XIV/105/2019 w sprawie aktualności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tudium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planów miejscowych Miasta i G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Reszel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Po przeanalizowaniu ustaleń ww. analizy można uznać ustalenia przedmiotowego planu za zgodne z jej wynikami. Niniejszy plan </w:t>
      </w:r>
      <w:r w:rsidR="002E4B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do kategorii planów które powinny zostać uchwalone w pierwszej kolejności ze względu na niezgodność obecnego zagospodarowania terenu z ustawą </w:t>
      </w:r>
      <w:r w:rsidR="002E4BD8" w:rsidRPr="002E4B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20 maja 2016 r. </w:t>
      </w:r>
      <w:r w:rsidR="002E4BD8" w:rsidRPr="002E4B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 inwestycjach w zakresie elektrowni wiatrowych</w:t>
      </w:r>
      <w:r w:rsidR="003965B7"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AE60DD2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Prognoza skutków finansowych uchwalenia miejscowego planu zagospodarowania przestrzennego, wykazała, że plan będzie miał ograniczony, pozytywny wpływ na budżet </w:t>
      </w:r>
      <w:r w:rsidR="00546099">
        <w:rPr>
          <w:rFonts w:ascii="Times New Roman" w:eastAsia="Times New Roman" w:hAnsi="Times New Roman" w:cs="Times New Roman"/>
          <w:sz w:val="24"/>
          <w:szCs w:val="24"/>
          <w:lang w:eastAsia="pl-PL"/>
        </w:rPr>
        <w:t>gminy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6AD3B61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W trakcie procedury planistycznej, w ustawowo określonych terminach, do planu wpłynęł</w:t>
      </w:r>
      <w:r w:rsidR="002E4BD8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uwag</w:t>
      </w:r>
      <w:r w:rsidR="002E4BD8">
        <w:rPr>
          <w:rFonts w:ascii="Times New Roman" w:eastAsia="Times New Roman" w:hAnsi="Times New Roman" w:cs="Times New Roman"/>
          <w:sz w:val="24"/>
          <w:szCs w:val="24"/>
          <w:lang w:eastAsia="pl-PL"/>
        </w:rPr>
        <w:t>a, która nie została uwzględniona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ECBEF74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Przedstawiony do uchwalenia projekt planu powstał po przeprowadzeniu pełnej procedury planistycznej, zgodnie z art. 17 ustawy o planowaniu i zagospodarowaniu przestrzennym. Posiada on niezbędne opinie i uzgodnienia, a jego uchwalenie przyczyni się do lepszego wykorzystania funkcji obszaru oraz zachowania w jego granicach ładu przestrzennego.</w:t>
      </w:r>
    </w:p>
    <w:p w14:paraId="10ADE83F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Przy przygotowywaniu projektu planu wykorzystano opracowania sporządzone w toku procedury planistycznej, tj.: „Opracowanie ekofizjograficzne”, „Prognozę oddziaływania na środowisko” oraz „Prognozę skutków finansowych uchwalenia planu”, wymagane odpowiednimi przepisami.</w:t>
      </w:r>
    </w:p>
    <w:p w14:paraId="7AB367B7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9EC579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36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 na uwadze powyższe, przyjęcie przez Radę </w:t>
      </w:r>
      <w:r w:rsidR="00750ADC" w:rsidRP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>Miejsk</w:t>
      </w:r>
      <w:r w:rsid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750ADC" w:rsidRP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Reszlu</w:t>
      </w:r>
      <w:r w:rsidR="00750ADC"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 uchwały jest uzasadnione.</w:t>
      </w:r>
    </w:p>
    <w:p w14:paraId="190AA5AD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360" w:line="240" w:lineRule="auto"/>
        <w:ind w:left="4536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Przewodniczący Rady </w:t>
      </w:r>
      <w:r w:rsidR="00750A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Miejskiej</w:t>
      </w:r>
    </w:p>
    <w:p w14:paraId="488294D8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9508BF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7D5EE6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AEA3C1" w14:textId="77777777" w:rsidR="00956580" w:rsidRDefault="00956580"/>
    <w:sectPr w:rsidR="00956580" w:rsidSect="00C7503B">
      <w:footerReference w:type="default" r:id="rId7"/>
      <w:pgSz w:w="11909" w:h="16834"/>
      <w:pgMar w:top="1134" w:right="1134" w:bottom="851" w:left="1134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397E" w14:textId="77777777" w:rsidR="009304D8" w:rsidRDefault="009304D8" w:rsidP="00BA59CD">
      <w:pPr>
        <w:spacing w:after="0" w:line="240" w:lineRule="auto"/>
      </w:pPr>
      <w:r>
        <w:separator/>
      </w:r>
    </w:p>
  </w:endnote>
  <w:endnote w:type="continuationSeparator" w:id="0">
    <w:p w14:paraId="595F3E9E" w14:textId="77777777" w:rsidR="009304D8" w:rsidRDefault="009304D8" w:rsidP="00BA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3867C" w14:textId="77777777" w:rsidR="00832B3E" w:rsidRDefault="00E530A0" w:rsidP="004A0150">
    <w:pPr>
      <w:pStyle w:val="Stopka"/>
      <w:jc w:val="center"/>
    </w:pPr>
    <w:r>
      <w:fldChar w:fldCharType="begin"/>
    </w:r>
    <w:r w:rsidR="00546099">
      <w:instrText>PAGE   \* MERGEFORMAT</w:instrText>
    </w:r>
    <w:r>
      <w:fldChar w:fldCharType="separate"/>
    </w:r>
    <w:r w:rsidR="000610B7">
      <w:rPr>
        <w:noProof/>
      </w:rPr>
      <w:t>2</w:t>
    </w:r>
    <w:r>
      <w:fldChar w:fldCharType="end"/>
    </w:r>
  </w:p>
  <w:p w14:paraId="5BFB08A7" w14:textId="77777777" w:rsidR="00832B3E" w:rsidRDefault="00D12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E2E1" w14:textId="77777777" w:rsidR="009304D8" w:rsidRDefault="009304D8" w:rsidP="00BA59CD">
      <w:pPr>
        <w:spacing w:after="0" w:line="240" w:lineRule="auto"/>
      </w:pPr>
      <w:r>
        <w:separator/>
      </w:r>
    </w:p>
  </w:footnote>
  <w:footnote w:type="continuationSeparator" w:id="0">
    <w:p w14:paraId="01DB5A81" w14:textId="77777777" w:rsidR="009304D8" w:rsidRDefault="009304D8" w:rsidP="00BA5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D3C99"/>
    <w:multiLevelType w:val="multilevel"/>
    <w:tmpl w:val="F44A432A"/>
    <w:lvl w:ilvl="0">
      <w:numFmt w:val="bullet"/>
      <w:lvlText w:val="•"/>
      <w:lvlJc w:val="left"/>
      <w:pPr>
        <w:ind w:left="473" w:hanging="360"/>
      </w:pPr>
    </w:lvl>
    <w:lvl w:ilvl="1">
      <w:start w:val="1"/>
      <w:numFmt w:val="none"/>
      <w:lvlText w:val=""/>
      <w:lvlJc w:val="left"/>
      <w:rPr>
        <w:rFonts w:ascii="Times New Roman" w:hAnsi="Times New Roman" w:cs="Times New Roman"/>
      </w:rPr>
    </w:lvl>
    <w:lvl w:ilvl="2">
      <w:start w:val="1"/>
      <w:numFmt w:val="none"/>
      <w:lvlText w:val=""/>
      <w:lvlJc w:val="left"/>
      <w:rPr>
        <w:rFonts w:ascii="Times New Roman" w:hAnsi="Times New Roman" w:cs="Times New Roman"/>
      </w:rPr>
    </w:lvl>
    <w:lvl w:ilvl="3">
      <w:start w:val="1"/>
      <w:numFmt w:val="none"/>
      <w:lvlText w:val=""/>
      <w:lvlJc w:val="left"/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rPr>
        <w:rFonts w:ascii="Times New Roman" w:hAnsi="Times New Roman"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5B7"/>
    <w:rsid w:val="0000075B"/>
    <w:rsid w:val="000350E8"/>
    <w:rsid w:val="000351E2"/>
    <w:rsid w:val="00037AFD"/>
    <w:rsid w:val="000505D8"/>
    <w:rsid w:val="0005512F"/>
    <w:rsid w:val="000610B7"/>
    <w:rsid w:val="000644AD"/>
    <w:rsid w:val="000707C2"/>
    <w:rsid w:val="000A6271"/>
    <w:rsid w:val="000B5B49"/>
    <w:rsid w:val="000D58C5"/>
    <w:rsid w:val="001140AA"/>
    <w:rsid w:val="001504D4"/>
    <w:rsid w:val="00187BDE"/>
    <w:rsid w:val="00192C9E"/>
    <w:rsid w:val="001D3677"/>
    <w:rsid w:val="00244585"/>
    <w:rsid w:val="002B16E3"/>
    <w:rsid w:val="002D1BBD"/>
    <w:rsid w:val="002E3DEC"/>
    <w:rsid w:val="002E4BD8"/>
    <w:rsid w:val="002F38E2"/>
    <w:rsid w:val="002F4392"/>
    <w:rsid w:val="00303A98"/>
    <w:rsid w:val="00326FAC"/>
    <w:rsid w:val="003362B5"/>
    <w:rsid w:val="00390802"/>
    <w:rsid w:val="003965B7"/>
    <w:rsid w:val="003A7DCD"/>
    <w:rsid w:val="004003FE"/>
    <w:rsid w:val="004137AA"/>
    <w:rsid w:val="00415A60"/>
    <w:rsid w:val="00460015"/>
    <w:rsid w:val="00476F47"/>
    <w:rsid w:val="004A04CC"/>
    <w:rsid w:val="004B0FD9"/>
    <w:rsid w:val="0051062A"/>
    <w:rsid w:val="00530DBE"/>
    <w:rsid w:val="00542222"/>
    <w:rsid w:val="00546099"/>
    <w:rsid w:val="00572DDA"/>
    <w:rsid w:val="005B67DD"/>
    <w:rsid w:val="005E212A"/>
    <w:rsid w:val="005F2E3C"/>
    <w:rsid w:val="006132F1"/>
    <w:rsid w:val="00647E6B"/>
    <w:rsid w:val="00650D81"/>
    <w:rsid w:val="00661CF4"/>
    <w:rsid w:val="00664841"/>
    <w:rsid w:val="00675329"/>
    <w:rsid w:val="006A6BE0"/>
    <w:rsid w:val="006D297A"/>
    <w:rsid w:val="006F4A63"/>
    <w:rsid w:val="00712F5A"/>
    <w:rsid w:val="00725231"/>
    <w:rsid w:val="0072586B"/>
    <w:rsid w:val="00745591"/>
    <w:rsid w:val="00750ADC"/>
    <w:rsid w:val="007A2B03"/>
    <w:rsid w:val="007B54CF"/>
    <w:rsid w:val="008131FE"/>
    <w:rsid w:val="00832D44"/>
    <w:rsid w:val="00842A3F"/>
    <w:rsid w:val="00867FA4"/>
    <w:rsid w:val="008C7329"/>
    <w:rsid w:val="008E6150"/>
    <w:rsid w:val="00925703"/>
    <w:rsid w:val="009304D8"/>
    <w:rsid w:val="009330EA"/>
    <w:rsid w:val="00956580"/>
    <w:rsid w:val="0097634C"/>
    <w:rsid w:val="00985C8F"/>
    <w:rsid w:val="009972A5"/>
    <w:rsid w:val="00A15FD7"/>
    <w:rsid w:val="00A4402E"/>
    <w:rsid w:val="00A80947"/>
    <w:rsid w:val="00A81818"/>
    <w:rsid w:val="00A8330A"/>
    <w:rsid w:val="00A94EF1"/>
    <w:rsid w:val="00AA2EB1"/>
    <w:rsid w:val="00AD2556"/>
    <w:rsid w:val="00AE4899"/>
    <w:rsid w:val="00B03C7B"/>
    <w:rsid w:val="00B46DAA"/>
    <w:rsid w:val="00B56533"/>
    <w:rsid w:val="00B81C34"/>
    <w:rsid w:val="00BA38B4"/>
    <w:rsid w:val="00BA59CD"/>
    <w:rsid w:val="00BD3E59"/>
    <w:rsid w:val="00BF0B28"/>
    <w:rsid w:val="00BF43B4"/>
    <w:rsid w:val="00C002F9"/>
    <w:rsid w:val="00C11D12"/>
    <w:rsid w:val="00CC1562"/>
    <w:rsid w:val="00D12E0C"/>
    <w:rsid w:val="00D150FE"/>
    <w:rsid w:val="00DA1019"/>
    <w:rsid w:val="00DE67FA"/>
    <w:rsid w:val="00E530A0"/>
    <w:rsid w:val="00E76510"/>
    <w:rsid w:val="00E90CBB"/>
    <w:rsid w:val="00EB4BDE"/>
    <w:rsid w:val="00EE5C99"/>
    <w:rsid w:val="00EE5D12"/>
    <w:rsid w:val="00F533AA"/>
    <w:rsid w:val="00F823EC"/>
    <w:rsid w:val="00FA3328"/>
    <w:rsid w:val="00FB36D4"/>
    <w:rsid w:val="00FB4F29"/>
    <w:rsid w:val="00FC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1365"/>
  <w15:docId w15:val="{60A64E0A-9773-4058-A57E-76DFED6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5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396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96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7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894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Piotr Chamik</cp:lastModifiedBy>
  <cp:revision>4</cp:revision>
  <cp:lastPrinted>2021-10-20T06:15:00Z</cp:lastPrinted>
  <dcterms:created xsi:type="dcterms:W3CDTF">2021-09-17T14:02:00Z</dcterms:created>
  <dcterms:modified xsi:type="dcterms:W3CDTF">2021-10-20T06:15:00Z</dcterms:modified>
</cp:coreProperties>
</file>